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contextualSpacing w:val="1"/>
        <w:jc w:val="center"/>
      </w:pPr>
    </w:p>
    <w:p w14:paraId="02000000">
      <w:pPr>
        <w:widowControl w:val="1"/>
        <w:ind/>
        <w:contextualSpacing w:val="1"/>
        <w:jc w:val="center"/>
        <w:rPr>
          <w:sz w:val="10"/>
        </w:rPr>
      </w:pPr>
    </w:p>
    <w:tbl>
      <w:tblPr>
        <w:tblStyle w:val="Style_1"/>
        <w:tblW w:type="auto" w:w="0"/>
        <w:tblInd w:type="dxa" w:w="108"/>
        <w:tblBorders>
          <w:top w:color="000000" w:sz="4" w:val="single"/>
          <w:bottom w:color="000000" w:sz="4" w:val="single"/>
        </w:tblBorders>
        <w:tblLayout w:type="fixed"/>
      </w:tblPr>
      <w:tblGrid>
        <w:gridCol w:w="9711"/>
      </w:tblGrid>
      <w:tr>
        <w:tc>
          <w:tcPr>
            <w:tcW w:type="dxa" w:w="9711"/>
            <w:tcBorders>
              <w:top w:color="000000" w:sz="18" w:val="single"/>
              <w:bottom w:color="000000" w:sz="18" w:val="single"/>
            </w:tcBorders>
          </w:tcPr>
          <w:p w14:paraId="03000000">
            <w:pPr>
              <w:widowControl w:val="1"/>
              <w:ind/>
              <w:contextualSpacing w:val="1"/>
              <w:jc w:val="center"/>
              <w:rPr>
                <w:spacing w:val="-4"/>
                <w:sz w:val="20"/>
              </w:rPr>
            </w:pPr>
          </w:p>
          <w:p w14:paraId="04000000">
            <w:pPr>
              <w:widowControl w:val="1"/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-4"/>
                <w:sz w:val="56"/>
              </w:rPr>
              <w:t xml:space="preserve">П Р О К У Р А Т У Р А </w:t>
            </w:r>
          </w:p>
          <w:p w14:paraId="05000000">
            <w:pPr>
              <w:widowControl w:val="1"/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8"/>
              </w:rPr>
              <w:t>города Нижневартовска</w:t>
            </w:r>
          </w:p>
          <w:p w14:paraId="06000000">
            <w:pPr>
              <w:widowControl w:val="1"/>
              <w:ind/>
              <w:contextualSpacing w:val="1"/>
              <w:jc w:val="center"/>
              <w:rPr>
                <w:sz w:val="20"/>
              </w:rPr>
            </w:pPr>
          </w:p>
        </w:tc>
      </w:tr>
    </w:tbl>
    <w:p w14:paraId="07000000">
      <w:pPr>
        <w:rPr>
          <w:b w:val="1"/>
        </w:rPr>
      </w:pPr>
    </w:p>
    <w:p w14:paraId="08000000">
      <w:pPr>
        <w:widowControl w:val="1"/>
        <w:ind/>
        <w:jc w:val="center"/>
        <w:rPr>
          <w:b w:val="1"/>
          <w:color w:themeColor="text1" w:val="000000"/>
        </w:rPr>
      </w:pPr>
    </w:p>
    <w:p w14:paraId="09000000">
      <w:pPr>
        <w:widowControl w:val="1"/>
        <w:ind/>
        <w:jc w:val="center"/>
        <w:rPr>
          <w:b w:val="1"/>
          <w:color w:themeColor="text1" w:val="000000"/>
        </w:rPr>
      </w:pPr>
    </w:p>
    <w:p w14:paraId="0A000000">
      <w:pPr>
        <w:widowControl w:val="1"/>
        <w:ind/>
        <w:jc w:val="center"/>
        <w:rPr>
          <w:b w:val="1"/>
          <w:color w:themeColor="text1" w:val="000000"/>
        </w:rPr>
      </w:pPr>
      <w:r>
        <w:rPr>
          <w:b w:val="1"/>
          <w:color w:themeColor="text1" w:val="000000"/>
        </w:rPr>
        <w:t xml:space="preserve">Права покупателей на </w:t>
      </w:r>
      <w:r>
        <w:rPr>
          <w:b w:val="1"/>
          <w:color w:themeColor="text1" w:val="000000"/>
        </w:rPr>
        <w:t>маркетплейсах</w:t>
      </w:r>
      <w:r>
        <w:rPr>
          <w:b w:val="1"/>
          <w:color w:themeColor="text1" w:val="000000"/>
        </w:rPr>
        <w:t>: новые правила с 1 октября 2026 года</w:t>
      </w:r>
    </w:p>
    <w:p w14:paraId="0B000000">
      <w:pPr>
        <w:widowControl w:val="1"/>
        <w:ind w:firstLine="709"/>
        <w:jc w:val="both"/>
        <w:rPr>
          <w:color w:themeColor="text1" w:val="000000"/>
        </w:rPr>
      </w:pPr>
    </w:p>
    <w:p w14:paraId="0C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С 1 октября 2026 года вступили в силу основные положения законодательства о платформенной экономике, регулирующие деятельность посреднических цифровых платформ, в том числе используемых гражданами для приобретения товаров и услуг.</w:t>
      </w:r>
    </w:p>
    <w:p w14:paraId="0D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Федеральными законами от 31.07.2025 № 289-ФЗ «Об отдельных вопросах регулирования платформенной экономики в Российской Федерации» и № 290-ФЗ внесены изменения в законодательство, регулирующее отношения между операторами цифровых платфо</w:t>
      </w:r>
      <w:r>
        <w:rPr>
          <w:color w:themeColor="text1" w:val="000000"/>
        </w:rPr>
        <w:t>рм, продавцами и потребителями.</w:t>
      </w:r>
    </w:p>
    <w:p w14:paraId="0E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Новые правила направлены на повышение прозрачности взаимодействия участников цифровых платфо</w:t>
      </w:r>
      <w:r>
        <w:rPr>
          <w:color w:themeColor="text1" w:val="000000"/>
        </w:rPr>
        <w:t>рм и защиту прав пользователей.</w:t>
      </w:r>
    </w:p>
    <w:p w14:paraId="0F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Одновременно с указанными изменениями обновляется законодательство о защите прав потребителей. В частности, предусмотрено, что при обнаружении недостатков в товаре, приобретенном с использованием посреднической цифровой платформы, потребитель вправе предъявить соответствующие требования непосредственно продавцу. При этом оператор платформы должен обеспечить техническую возможность предъявления таких тр</w:t>
      </w:r>
      <w:r>
        <w:rPr>
          <w:color w:themeColor="text1" w:val="000000"/>
        </w:rPr>
        <w:t>ебований посредством платформы.</w:t>
      </w:r>
    </w:p>
    <w:p w14:paraId="10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Таким образом, покупатель не должен самостоятельно искать сторонние способы направления продавцу требования о недостатках приобретенного товара, если покупка совершена посредством соот</w:t>
      </w:r>
      <w:r>
        <w:rPr>
          <w:color w:themeColor="text1" w:val="000000"/>
        </w:rPr>
        <w:t>ветствующей цифровой платформы.</w:t>
      </w:r>
    </w:p>
    <w:p w14:paraId="11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Правила распространяются также на дистанционную продажу товаров. При этом отношения между потребителем и продавцом регулируются Законом Российской Федерации от 07.02.1992 № 2300-1 «О защите прав потребителей», а особенности работы цифровых платформ определяются</w:t>
      </w:r>
      <w:r>
        <w:rPr>
          <w:color w:themeColor="text1" w:val="000000"/>
        </w:rPr>
        <w:t xml:space="preserve"> специальным законодательством.</w:t>
      </w:r>
    </w:p>
    <w:p w14:paraId="12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При получении товара гражданину рекомендуется сохранять сведения о заказе, оплате, переписку с продавцом, фотографии выявленных недостатков и документ</w:t>
      </w:r>
      <w:r>
        <w:rPr>
          <w:color w:themeColor="text1" w:val="000000"/>
        </w:rPr>
        <w:t>ы, подтверждающие приобретение.</w:t>
      </w:r>
    </w:p>
    <w:p w14:paraId="13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В случае отказа продавца удовлетворить законные требования потребитель вправе обратиться в уполномоченные гос</w:t>
      </w:r>
      <w:r>
        <w:rPr>
          <w:color w:themeColor="text1" w:val="000000"/>
        </w:rPr>
        <w:t>ударственные органы либо в суд.</w:t>
      </w:r>
    </w:p>
    <w:p w14:paraId="14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 xml:space="preserve">Законодательные изменения направлены на повышение защищенности граждан при совершении покупок в цифровой среде и установление понятных правил взаимодействия между покупателями, продавцами </w:t>
      </w:r>
      <w:r>
        <w:rPr>
          <w:color w:themeColor="text1" w:val="000000"/>
        </w:rPr>
        <w:t>и операторами цифровых платформ</w:t>
      </w:r>
    </w:p>
    <w:p w14:paraId="15000000">
      <w:pPr>
        <w:widowControl w:val="1"/>
        <w:ind w:firstLine="709"/>
        <w:contextualSpacing w:val="1"/>
        <w:jc w:val="both"/>
        <w:rPr>
          <w:color w:themeColor="text1" w:val="000000"/>
        </w:rPr>
      </w:pPr>
    </w:p>
    <w:p w14:paraId="16000000">
      <w:pPr>
        <w:widowControl w:val="1"/>
        <w:ind/>
        <w:jc w:val="both"/>
      </w:pPr>
      <w:r>
        <w:t xml:space="preserve">Пресс-служба </w:t>
      </w:r>
    </w:p>
    <w:p w14:paraId="17000000">
      <w:pPr>
        <w:widowControl w:val="1"/>
        <w:ind/>
        <w:jc w:val="both"/>
      </w:pPr>
      <w:r>
        <w:t>Прокуратуры г. Нижневартовска</w:t>
      </w:r>
    </w:p>
    <w:p w14:paraId="18000000">
      <w:pPr>
        <w:widowControl w:val="1"/>
        <w:ind/>
        <w:jc w:val="both"/>
        <w:rPr>
          <w:b w:val="1"/>
          <w:sz w:val="20"/>
        </w:rPr>
      </w:pPr>
      <w:r>
        <w:rPr>
          <w:b w:val="1"/>
          <w:sz w:val="20"/>
        </w:rPr>
        <w:t>При использовании указанной информации ссылка на прокуратуру города Нижневартовска является обязательной. При освещении информации в теле-, радиоэфирах необходимо направлять эфирные справки (количество эфиров с учетом повторов) по адресу прокуратуры города: ХМАО-Югра, г. Нижневартовск, ул. Мусы Джалиля, д. 14, 628602</w:t>
      </w:r>
    </w:p>
    <w:p w14:paraId="19000000">
      <w:pPr>
        <w:widowControl w:val="1"/>
        <w:spacing w:line="240" w:lineRule="exact"/>
        <w:ind/>
        <w:jc w:val="both"/>
        <w:rPr>
          <w:b w:val="1"/>
        </w:rPr>
      </w:pPr>
    </w:p>
    <w:p w14:paraId="1A000000">
      <w:pPr>
        <w:widowControl w:val="1"/>
        <w:spacing w:line="240" w:lineRule="exact"/>
        <w:ind/>
        <w:jc w:val="both"/>
        <w:rPr>
          <w:b w:val="1"/>
        </w:rPr>
      </w:pPr>
      <w:r>
        <w:rPr>
          <w:b w:val="1"/>
        </w:rPr>
        <w:t>СОГЛАСОВАНО:</w:t>
      </w:r>
    </w:p>
    <w:p w14:paraId="1B000000">
      <w:pPr>
        <w:widowControl w:val="1"/>
        <w:spacing w:line="240" w:lineRule="exact"/>
        <w:ind/>
        <w:jc w:val="both"/>
        <w:rPr>
          <w:b w:val="1"/>
          <w:sz w:val="20"/>
        </w:rPr>
      </w:pPr>
    </w:p>
    <w:p w14:paraId="1C000000">
      <w:pPr>
        <w:widowControl w:val="1"/>
        <w:spacing w:line="240" w:lineRule="exact"/>
        <w:ind/>
        <w:jc w:val="both"/>
        <w:rPr>
          <w:b w:val="1"/>
          <w:sz w:val="20"/>
        </w:rPr>
      </w:pPr>
      <w:r>
        <w:rPr>
          <w:b w:val="1"/>
          <w:sz w:val="20"/>
        </w:rPr>
        <w:t xml:space="preserve"> </w:t>
      </w:r>
      <w:r>
        <w:t xml:space="preserve">Прокурор города                                                                             </w:t>
      </w:r>
      <w:r>
        <w:tab/>
      </w:r>
      <w:r>
        <w:t xml:space="preserve">     А.В. Еременко</w:t>
      </w:r>
    </w:p>
    <w:p w14:paraId="1D000000">
      <w:pPr>
        <w:rPr>
          <w:sz w:val="20"/>
        </w:rPr>
      </w:pPr>
    </w:p>
    <w:p w14:paraId="1E000000">
      <w:pPr>
        <w:rPr>
          <w:sz w:val="20"/>
        </w:rPr>
      </w:pPr>
    </w:p>
    <w:p w14:paraId="1F000000">
      <w:pPr>
        <w:rPr>
          <w:sz w:val="20"/>
        </w:rPr>
      </w:pPr>
    </w:p>
    <w:p w14:paraId="20000000">
      <w:pPr>
        <w:rPr>
          <w:sz w:val="20"/>
        </w:rPr>
      </w:pPr>
    </w:p>
    <w:p w14:paraId="21000000">
      <w:pPr>
        <w:rPr>
          <w:sz w:val="20"/>
        </w:rPr>
      </w:pPr>
    </w:p>
    <w:p w14:paraId="22000000">
      <w:pPr>
        <w:rPr>
          <w:sz w:val="20"/>
        </w:rPr>
      </w:pPr>
    </w:p>
    <w:p w14:paraId="23000000">
      <w:pPr>
        <w:rPr>
          <w:sz w:val="20"/>
        </w:rPr>
      </w:pPr>
    </w:p>
    <w:p w14:paraId="24000000">
      <w:pPr>
        <w:rPr>
          <w:sz w:val="20"/>
        </w:rPr>
      </w:pPr>
    </w:p>
    <w:p w14:paraId="25000000">
      <w:pPr>
        <w:rPr>
          <w:sz w:val="20"/>
        </w:rPr>
      </w:pPr>
    </w:p>
    <w:p w14:paraId="26000000">
      <w:pPr>
        <w:rPr>
          <w:sz w:val="20"/>
        </w:rPr>
      </w:pPr>
    </w:p>
    <w:p w14:paraId="27000000">
      <w:pPr>
        <w:rPr>
          <w:sz w:val="20"/>
        </w:rPr>
      </w:pPr>
    </w:p>
    <w:p w14:paraId="28000000">
      <w:pPr>
        <w:rPr>
          <w:sz w:val="20"/>
        </w:rPr>
      </w:pPr>
    </w:p>
    <w:p w14:paraId="29000000">
      <w:pPr>
        <w:rPr>
          <w:sz w:val="20"/>
        </w:rPr>
      </w:pPr>
    </w:p>
    <w:p w14:paraId="2A000000">
      <w:pPr>
        <w:rPr>
          <w:sz w:val="20"/>
        </w:rPr>
      </w:pPr>
    </w:p>
    <w:p w14:paraId="2B000000">
      <w:pPr>
        <w:rPr>
          <w:sz w:val="20"/>
        </w:rPr>
      </w:pPr>
    </w:p>
    <w:p w14:paraId="2C000000">
      <w:pPr>
        <w:rPr>
          <w:sz w:val="20"/>
        </w:rPr>
      </w:pPr>
    </w:p>
    <w:p w14:paraId="2D000000">
      <w:pPr>
        <w:rPr>
          <w:sz w:val="20"/>
        </w:rPr>
      </w:pPr>
    </w:p>
    <w:p w14:paraId="2E000000">
      <w:pPr>
        <w:rPr>
          <w:sz w:val="20"/>
        </w:rPr>
      </w:pPr>
    </w:p>
    <w:p w14:paraId="2F000000">
      <w:pPr>
        <w:rPr>
          <w:sz w:val="20"/>
        </w:rPr>
      </w:pPr>
    </w:p>
    <w:p w14:paraId="30000000">
      <w:pPr>
        <w:rPr>
          <w:sz w:val="20"/>
        </w:rPr>
      </w:pPr>
    </w:p>
    <w:p w14:paraId="31000000">
      <w:pPr>
        <w:rPr>
          <w:sz w:val="20"/>
        </w:rPr>
      </w:pPr>
    </w:p>
    <w:p w14:paraId="32000000">
      <w:pPr>
        <w:rPr>
          <w:sz w:val="20"/>
        </w:rPr>
      </w:pPr>
    </w:p>
    <w:p w14:paraId="33000000">
      <w:pPr>
        <w:rPr>
          <w:sz w:val="20"/>
        </w:rPr>
      </w:pPr>
    </w:p>
    <w:p w14:paraId="34000000">
      <w:pPr>
        <w:rPr>
          <w:sz w:val="20"/>
        </w:rPr>
      </w:pPr>
    </w:p>
    <w:p w14:paraId="35000000">
      <w:pPr>
        <w:rPr>
          <w:sz w:val="20"/>
        </w:rPr>
      </w:pPr>
    </w:p>
    <w:p w14:paraId="36000000">
      <w:pPr>
        <w:rPr>
          <w:sz w:val="20"/>
        </w:rPr>
      </w:pPr>
    </w:p>
    <w:p w14:paraId="37000000">
      <w:pPr>
        <w:rPr>
          <w:sz w:val="20"/>
        </w:rPr>
      </w:pPr>
    </w:p>
    <w:p w14:paraId="38000000">
      <w:pPr>
        <w:rPr>
          <w:sz w:val="20"/>
        </w:rPr>
      </w:pPr>
    </w:p>
    <w:p w14:paraId="39000000">
      <w:pPr>
        <w:rPr>
          <w:sz w:val="20"/>
        </w:rPr>
      </w:pPr>
    </w:p>
    <w:p w14:paraId="3A000000">
      <w:pPr>
        <w:rPr>
          <w:sz w:val="20"/>
        </w:rPr>
      </w:pPr>
    </w:p>
    <w:p w14:paraId="3B000000">
      <w:pPr>
        <w:rPr>
          <w:sz w:val="20"/>
        </w:rPr>
      </w:pPr>
    </w:p>
    <w:p w14:paraId="3C000000">
      <w:pPr>
        <w:rPr>
          <w:sz w:val="20"/>
        </w:rPr>
      </w:pPr>
    </w:p>
    <w:p w14:paraId="3D000000">
      <w:pPr>
        <w:rPr>
          <w:sz w:val="20"/>
        </w:rPr>
      </w:pPr>
    </w:p>
    <w:p w14:paraId="3E000000">
      <w:pPr>
        <w:rPr>
          <w:sz w:val="20"/>
        </w:rPr>
      </w:pPr>
    </w:p>
    <w:p w14:paraId="3F000000">
      <w:pPr>
        <w:rPr>
          <w:sz w:val="20"/>
        </w:rPr>
      </w:pPr>
    </w:p>
    <w:p w14:paraId="40000000">
      <w:pPr>
        <w:rPr>
          <w:sz w:val="20"/>
        </w:rPr>
      </w:pPr>
    </w:p>
    <w:p w14:paraId="41000000">
      <w:pPr>
        <w:rPr>
          <w:sz w:val="20"/>
        </w:rPr>
      </w:pPr>
    </w:p>
    <w:p w14:paraId="42000000">
      <w:pPr>
        <w:rPr>
          <w:sz w:val="20"/>
        </w:rPr>
      </w:pPr>
    </w:p>
    <w:p w14:paraId="43000000">
      <w:pPr>
        <w:rPr>
          <w:sz w:val="20"/>
        </w:rPr>
      </w:pPr>
    </w:p>
    <w:p w14:paraId="44000000">
      <w:pPr>
        <w:rPr>
          <w:sz w:val="20"/>
        </w:rPr>
      </w:pPr>
    </w:p>
    <w:p w14:paraId="45000000">
      <w:pPr>
        <w:rPr>
          <w:sz w:val="20"/>
        </w:rPr>
      </w:pPr>
    </w:p>
    <w:p w14:paraId="46000000">
      <w:pPr>
        <w:rPr>
          <w:sz w:val="20"/>
        </w:rPr>
      </w:pPr>
    </w:p>
    <w:p w14:paraId="47000000">
      <w:pPr>
        <w:rPr>
          <w:sz w:val="20"/>
        </w:rPr>
      </w:pPr>
    </w:p>
    <w:p w14:paraId="48000000">
      <w:pPr>
        <w:rPr>
          <w:sz w:val="20"/>
        </w:rPr>
      </w:pPr>
    </w:p>
    <w:p w14:paraId="49000000">
      <w:pPr>
        <w:rPr>
          <w:sz w:val="20"/>
        </w:rPr>
      </w:pPr>
    </w:p>
    <w:p w14:paraId="4A000000">
      <w:pPr>
        <w:rPr>
          <w:sz w:val="20"/>
        </w:rPr>
      </w:pPr>
    </w:p>
    <w:p w14:paraId="4B000000">
      <w:pPr>
        <w:rPr>
          <w:sz w:val="20"/>
        </w:rPr>
      </w:pPr>
    </w:p>
    <w:p w14:paraId="4C000000">
      <w:pPr>
        <w:rPr>
          <w:sz w:val="20"/>
        </w:rPr>
      </w:pPr>
    </w:p>
    <w:p w14:paraId="4D000000">
      <w:pPr>
        <w:rPr>
          <w:sz w:val="20"/>
        </w:rPr>
      </w:pPr>
    </w:p>
    <w:p w14:paraId="4E000000">
      <w:pPr>
        <w:rPr>
          <w:sz w:val="20"/>
        </w:rPr>
      </w:pPr>
    </w:p>
    <w:p w14:paraId="4F000000">
      <w:pPr>
        <w:rPr>
          <w:sz w:val="20"/>
        </w:rPr>
      </w:pPr>
    </w:p>
    <w:p w14:paraId="50000000">
      <w:pPr>
        <w:rPr>
          <w:sz w:val="20"/>
        </w:rPr>
      </w:pPr>
    </w:p>
    <w:p w14:paraId="51000000">
      <w:pPr>
        <w:rPr>
          <w:sz w:val="20"/>
        </w:rPr>
      </w:pPr>
      <w:bookmarkStart w:id="1" w:name="_GoBack"/>
      <w:bookmarkEnd w:id="1"/>
      <w:r>
        <w:rPr>
          <w:sz w:val="20"/>
        </w:rPr>
        <w:t xml:space="preserve">Д.О. </w:t>
      </w:r>
      <w:r>
        <w:rPr>
          <w:sz w:val="20"/>
        </w:rPr>
        <w:t>Колосницын</w:t>
      </w:r>
      <w:r>
        <w:rPr>
          <w:sz w:val="20"/>
        </w:rPr>
        <w:t>, тел. 49-89-19</w:t>
      </w:r>
    </w:p>
    <w:sectPr>
      <w:pgSz w:h="16838" w:orient="portrait" w:w="11906"/>
      <w:pgMar w:bottom="1276" w:footer="709" w:gutter="0" w:header="709" w:left="1418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imes New Roman" w:hAnsi="Times New Roman"/>
      <w:sz w:val="28"/>
    </w:rPr>
  </w:style>
  <w:style w:default="1" w:styleId="Style_2_ch" w:type="character">
    <w:name w:val="Normal"/>
    <w:link w:val="Style_2"/>
    <w:rPr>
      <w:rFonts w:ascii="Times New Roman" w:hAnsi="Times New Roman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Обычный1"/>
    <w:link w:val="Style_4_ch"/>
    <w:rPr>
      <w:rFonts w:ascii="Times New Roman" w:hAnsi="Times New Roman"/>
      <w:sz w:val="28"/>
    </w:rPr>
  </w:style>
  <w:style w:styleId="Style_4_ch" w:type="character">
    <w:name w:val="Обычный1"/>
    <w:link w:val="Style_4"/>
    <w:rPr>
      <w:rFonts w:ascii="Times New Roman" w:hAnsi="Times New Roman"/>
      <w:sz w:val="28"/>
    </w:rPr>
  </w:style>
  <w:style w:styleId="Style_5" w:type="paragraph">
    <w:name w:val="Основной текст2"/>
    <w:basedOn w:val="Style_2"/>
    <w:link w:val="Style_5_ch"/>
    <w:pPr>
      <w:widowControl w:val="1"/>
      <w:spacing w:line="245" w:lineRule="exact"/>
      <w:ind/>
    </w:pPr>
    <w:rPr>
      <w:rFonts w:ascii="Sylfaen" w:hAnsi="Sylfaen"/>
      <w:sz w:val="25"/>
    </w:rPr>
  </w:style>
  <w:style w:styleId="Style_5_ch" w:type="character">
    <w:name w:val="Основной текст2"/>
    <w:basedOn w:val="Style_2_ch"/>
    <w:link w:val="Style_5"/>
    <w:rPr>
      <w:rFonts w:ascii="Sylfaen" w:hAnsi="Sylfaen"/>
      <w:sz w:val="25"/>
    </w:rPr>
  </w:style>
  <w:style w:styleId="Style_6" w:type="paragraph">
    <w:name w:val="toc 4"/>
    <w:next w:val="Style_2"/>
    <w:link w:val="Style_6_ch"/>
    <w:uiPriority w:val="39"/>
    <w:pPr>
      <w:widowControl w:val="1"/>
      <w:ind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widowControl w:val="1"/>
      <w:ind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1"/>
      <w:ind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Normal (Web)"/>
    <w:basedOn w:val="Style_2"/>
    <w:link w:val="Style_9_ch"/>
    <w:pPr>
      <w:widowControl w:val="1"/>
      <w:spacing w:afterAutospacing="on" w:beforeAutospacing="on"/>
      <w:ind/>
    </w:pPr>
    <w:rPr>
      <w:sz w:val="24"/>
    </w:rPr>
  </w:style>
  <w:style w:styleId="Style_9_ch" w:type="character">
    <w:name w:val="Normal (Web)"/>
    <w:basedOn w:val="Style_2_ch"/>
    <w:link w:val="Style_9"/>
    <w:rPr>
      <w:sz w:val="24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Endnote"/>
    <w:link w:val="Style_11_ch"/>
    <w:pPr>
      <w:widowControl w:val="1"/>
      <w:ind w:firstLine="851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2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toc 3"/>
    <w:next w:val="Style_2"/>
    <w:link w:val="Style_13_ch"/>
    <w:uiPriority w:val="39"/>
    <w:pPr>
      <w:widowControl w:val="1"/>
      <w:ind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Body Text 3"/>
    <w:basedOn w:val="Style_2"/>
    <w:link w:val="Style_14_ch"/>
    <w:pPr>
      <w:widowControl w:val="1"/>
      <w:spacing w:after="120"/>
      <w:ind/>
    </w:pPr>
    <w:rPr>
      <w:sz w:val="16"/>
    </w:rPr>
  </w:style>
  <w:style w:styleId="Style_14_ch" w:type="character">
    <w:name w:val="Body Text 3"/>
    <w:basedOn w:val="Style_2_ch"/>
    <w:link w:val="Style_14"/>
    <w:rPr>
      <w:sz w:val="16"/>
    </w:rPr>
  </w:style>
  <w:style w:styleId="Style_15" w:type="paragraph">
    <w:name w:val="heading 5"/>
    <w:next w:val="Style_2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basedOn w:val="Style_2"/>
    <w:link w:val="Style_16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16_ch" w:type="character">
    <w:name w:val="heading 1"/>
    <w:basedOn w:val="Style_2_ch"/>
    <w:link w:val="Style_16"/>
    <w:rPr>
      <w:b w:val="1"/>
      <w:sz w:val="48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2"/>
    <w:link w:val="Style_19_ch"/>
    <w:uiPriority w:val="39"/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Гиперссылка1"/>
    <w:link w:val="Style_20_ch"/>
    <w:rPr>
      <w:color w:val="0000FF"/>
      <w:u w:val="single"/>
    </w:rPr>
  </w:style>
  <w:style w:styleId="Style_20_ch" w:type="character">
    <w:name w:val="Гиперссылка1"/>
    <w:link w:val="Style_20"/>
    <w:rPr>
      <w:color w:val="0000FF"/>
      <w:u w:val="single"/>
    </w:rPr>
  </w:style>
  <w:style w:styleId="Style_21" w:type="paragraph">
    <w:name w:val="Header and Footer"/>
    <w:link w:val="Style_21_ch"/>
    <w:pPr>
      <w:widowControl w:val="1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Body Text Indent"/>
    <w:basedOn w:val="Style_2"/>
    <w:link w:val="Style_22_ch"/>
    <w:pPr>
      <w:widowControl w:val="1"/>
      <w:ind w:firstLine="709"/>
      <w:jc w:val="both"/>
    </w:pPr>
  </w:style>
  <w:style w:styleId="Style_22_ch" w:type="character">
    <w:name w:val="Body Text Indent"/>
    <w:basedOn w:val="Style_2_ch"/>
    <w:link w:val="Style_22"/>
  </w:style>
  <w:style w:styleId="Style_23" w:type="paragraph">
    <w:name w:val="toc 9"/>
    <w:next w:val="Style_2"/>
    <w:link w:val="Style_23_ch"/>
    <w:uiPriority w:val="39"/>
    <w:pPr>
      <w:widowControl w:val="1"/>
      <w:ind w:left="1600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No Spacing"/>
    <w:link w:val="Style_24_ch"/>
    <w:rPr>
      <w:sz w:val="22"/>
    </w:rPr>
  </w:style>
  <w:style w:styleId="Style_24_ch" w:type="character">
    <w:name w:val="No Spacing"/>
    <w:link w:val="Style_24"/>
    <w:rPr>
      <w:sz w:val="22"/>
    </w:rPr>
  </w:style>
  <w:style w:styleId="Style_25" w:type="paragraph">
    <w:name w:val="toc 8"/>
    <w:next w:val="Style_2"/>
    <w:link w:val="Style_25_ch"/>
    <w:uiPriority w:val="39"/>
    <w:pPr>
      <w:widowControl w:val="1"/>
      <w:ind w:left="1400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feeds-page__navigation_tooltip"/>
    <w:basedOn w:val="Style_27"/>
    <w:link w:val="Style_26_ch"/>
  </w:style>
  <w:style w:styleId="Style_26_ch" w:type="character">
    <w:name w:val="feeds-page__navigation_tooltip"/>
    <w:basedOn w:val="Style_27_ch"/>
    <w:link w:val="Style_26"/>
  </w:style>
  <w:style w:styleId="Style_28" w:type="paragraph">
    <w:name w:val="toc 5"/>
    <w:next w:val="Style_2"/>
    <w:link w:val="Style_28_ch"/>
    <w:uiPriority w:val="39"/>
    <w:pPr>
      <w:widowControl w:val="1"/>
      <w:ind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Balloon Text"/>
    <w:basedOn w:val="Style_2"/>
    <w:link w:val="Style_29_ch"/>
    <w:rPr>
      <w:rFonts w:ascii="Segoe UI" w:hAnsi="Segoe UI"/>
      <w:sz w:val="18"/>
    </w:rPr>
  </w:style>
  <w:style w:styleId="Style_29_ch" w:type="character">
    <w:name w:val="Balloon Text"/>
    <w:basedOn w:val="Style_2_ch"/>
    <w:link w:val="Style_29"/>
    <w:rPr>
      <w:rFonts w:ascii="Segoe UI" w:hAnsi="Segoe UI"/>
      <w:sz w:val="18"/>
    </w:rPr>
  </w:style>
  <w:style w:styleId="Style_30" w:type="paragraph">
    <w:name w:val="List Paragraph"/>
    <w:basedOn w:val="Style_2"/>
    <w:link w:val="Style_30_ch"/>
    <w:pPr>
      <w:widowControl w:val="1"/>
      <w:spacing w:after="200" w:line="276" w:lineRule="auto"/>
      <w:ind w:left="720"/>
      <w:contextualSpacing w:val="1"/>
    </w:pPr>
    <w:rPr>
      <w:rFonts w:asciiTheme="minorAscii" w:hAnsiTheme="minorHAnsi"/>
      <w:sz w:val="22"/>
    </w:rPr>
  </w:style>
  <w:style w:styleId="Style_30_ch" w:type="character">
    <w:name w:val="List Paragraph"/>
    <w:basedOn w:val="Style_2_ch"/>
    <w:link w:val="Style_30"/>
    <w:rPr>
      <w:rFonts w:asciiTheme="minorAscii" w:hAnsiTheme="minorHAnsi"/>
      <w:sz w:val="22"/>
    </w:rPr>
  </w:style>
  <w:style w:styleId="Style_27" w:type="paragraph">
    <w:name w:val="Основной шрифт абзаца1"/>
    <w:link w:val="Style_27_ch"/>
  </w:style>
  <w:style w:styleId="Style_27_ch" w:type="character">
    <w:name w:val="Основной шрифт абзаца1"/>
    <w:link w:val="Style_27"/>
  </w:style>
  <w:style w:styleId="Style_31" w:type="paragraph">
    <w:name w:val="Subtitle"/>
    <w:next w:val="Style_2"/>
    <w:link w:val="Style_3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2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table">
    <w:name w:val="Table Grid"/>
    <w:basedOn w:val="Style_1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2024-04-14T21:32:00Z</dcterms:created>
  <dcterms:modified xsi:type="dcterms:W3CDTF">2026-10-29T05:32:06Z</dcterms:modified>
</cp:coreProperties>
</file>